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7ABE2">
      <w:pPr>
        <w:spacing w:after="0" w:line="240" w:lineRule="auto"/>
        <w:rPr>
          <w:rFonts w:hint="eastAsia" w:ascii="仿宋" w:hAnsi="仿宋" w:eastAsia="仿宋" w:cs="Times New Roman"/>
          <w:sz w:val="32"/>
          <w:szCs w:val="32"/>
          <w:lang w:val="en-US" w:eastAsia="zh-CN"/>
          <w14:ligatures w14:val="none"/>
        </w:rPr>
      </w:pPr>
    </w:p>
    <w:p w14:paraId="009F1CF1">
      <w:pPr>
        <w:spacing w:after="0" w:line="240" w:lineRule="auto"/>
        <w:jc w:val="both"/>
        <w:rPr>
          <w:rFonts w:hint="eastAsia" w:ascii="仿宋_GB2312" w:hAnsi="仿宋_GB2312" w:eastAsia="仿宋_GB2312" w:cs="仿宋_GB2312"/>
          <w:b/>
          <w:bCs/>
          <w:sz w:val="32"/>
          <w:szCs w:val="32"/>
          <w:lang w:val="en-US" w:eastAsia="zh-CN"/>
          <w14:ligatures w14:val="none"/>
        </w:rPr>
      </w:pPr>
      <w:bookmarkStart w:id="0" w:name="_GoBack"/>
      <w:r>
        <w:rPr>
          <w:rFonts w:hint="eastAsia" w:ascii="仿宋" w:hAnsi="仿宋" w:eastAsia="仿宋" w:cs="Times New Roman"/>
          <w:sz w:val="32"/>
          <w:szCs w:val="32"/>
          <w:lang w:val="en-US" w:eastAsia="zh-CN"/>
          <w14:ligatures w14:val="none"/>
        </w:rPr>
        <w:t>附件2</w:t>
      </w:r>
    </w:p>
    <w:p w14:paraId="161CFB61">
      <w:pPr>
        <w:spacing w:after="0" w:line="240" w:lineRule="auto"/>
        <w:jc w:val="center"/>
        <w:rPr>
          <w:rFonts w:hint="eastAsia" w:ascii="仿宋_GB2312" w:hAnsi="仿宋_GB2312" w:eastAsia="仿宋_GB2312" w:cs="仿宋_GB2312"/>
          <w:b/>
          <w:bCs/>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财税合规优秀服务机构申报标准</w:t>
      </w:r>
    </w:p>
    <w:bookmarkEnd w:id="0"/>
    <w:p w14:paraId="677F7DE8">
      <w:pPr>
        <w:spacing w:after="0" w:line="240" w:lineRule="auto"/>
        <w:rPr>
          <w:rFonts w:hint="eastAsia" w:ascii="仿宋" w:hAnsi="仿宋" w:eastAsia="仿宋" w:cs="Times New Roman"/>
          <w:sz w:val="32"/>
          <w:szCs w:val="32"/>
          <w:lang w:val="en-US" w:eastAsia="zh-CN"/>
          <w14:ligatures w14:val="none"/>
        </w:rPr>
      </w:pPr>
    </w:p>
    <w:p w14:paraId="6B8015AF">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财税合规优秀服务机构应符合以下基本条件：</w:t>
      </w:r>
    </w:p>
    <w:p w14:paraId="0F10047A">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 xml:space="preserve">（一）注册（或分支机构注册）在中国大陆地区，有固定经营场所，成立时间2年以上（含2年）； </w:t>
      </w:r>
    </w:p>
    <w:p w14:paraId="43E237F1">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（二）近2年内未受到刑事及严重行政处罚，不存在严重失信行为；</w:t>
      </w:r>
    </w:p>
    <w:p w14:paraId="6AA4D2DB">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（三）拥有与业务经营范围和业务发展能力相适应的专业服务团队和技术人员；</w:t>
      </w:r>
    </w:p>
    <w:p w14:paraId="2253BE3F">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（四）提供相关领域服务资质材料或认定材料（包括但不限于中小企业服务机构服务能力评估等）。</w:t>
      </w:r>
    </w:p>
    <w:p w14:paraId="392F8F9D">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（五）服务机构选择申报服务领域，并补充提交申请材料后，正式提交财税合规优秀中小企业服务机构申报表（附件1）。</w:t>
      </w:r>
    </w:p>
    <w:p w14:paraId="43B1CEE8"/>
    <w:p w14:paraId="400B7DCD"/>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1658A"/>
    <w:rsid w:val="2D01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2026-06-02T02:31:00Z</dcterms:created>
  <dc:creator>赵佳义</dc:creator>
  <cp:lastModifiedBy>赵佳义</cp:lastModifiedBy>
  <dcterms:modified xsi:type="dcterms:W3CDTF">2026-06-02T02:31:26Z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B2D27B8F0EE142B8AF225505CCABA79C_11</vt:lpwstr>
  </property>
  <property fmtid="{D5CDD505-2E9C-101B-9397-08002B2CF9AE}" pid="4" name="KSOTemplateDocerSaveRecord">
    <vt:lpwstr>eyJoZGlkIjoiYjFjMzVlYjNiNjNkMDNkZmRhZTM5YjI0N2Q5YmQ4NjAiLCJ1c2VySWQiOiIzMTY2OTU1MDkifQ==</vt:lpwstr>
  </property>
</Properties>
</file>