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地方初选标准</w:t>
      </w:r>
    </w:p>
    <w:p>
      <w:pPr>
        <w:spacing w:line="360" w:lineRule="auto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021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  <w:t>评分内容</w:t>
            </w:r>
          </w:p>
        </w:tc>
        <w:tc>
          <w:tcPr>
            <w:tcW w:w="602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  <w:t>描述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color w:val="000000"/>
                <w:sz w:val="32"/>
                <w:szCs w:val="32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课程目标</w:t>
            </w: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明确阐述教学目标和预期效果，对应国家、行业和专业需求，符合中小企业发展和人才培养规律，达成路径清晰。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课程内容</w:t>
            </w: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信息准确，能提供可用、可靠的知识与技能。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有良好的结构和逻辑，便于受众对象清晰地理解所学内容。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体现前沿性和实效性，能提供实用的解决方案和实践经验。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教学方法</w:t>
            </w: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根据不同行业类型和企业发展不同阶段，教学方法多样化，能引发受众对象深入思考。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表现形式合理，能正确使用教具辅具，使课程内容的呈现方式更具多样性、直观性和适切性。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提供充分的实例示范和案例分析，具备较强的实践指导意义和可操作性。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63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视听效果和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技术质量</w:t>
            </w: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推行国家通用语言文字，授课语言为标准普通话。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3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视频画面和音频质量清晰、流畅，能提供良好的观看和收听体验。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6021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具有较高推广价值等。</w:t>
            </w:r>
          </w:p>
        </w:tc>
        <w:tc>
          <w:tcPr>
            <w:tcW w:w="86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sz w:val="32"/>
                <w:szCs w:val="32"/>
              </w:rPr>
              <w:t>10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eBmCnRAAAAAwEAAA8AAAAAAAAAAQAgAAAAOAAAAGRycy9kb3ducmV2&#10;LnhtbFBLAQIUABQAAAAIAIdO4kCmSWWO7QEAALM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6F7DC9B"/>
    <w:rsid w:val="000E4751"/>
    <w:rsid w:val="00C07E17"/>
    <w:rsid w:val="0A506CDC"/>
    <w:rsid w:val="7E2F1128"/>
    <w:rsid w:val="B6F7DC9B"/>
    <w:rsid w:val="DBCD3ABE"/>
    <w:rsid w:val="DFC39BF6"/>
    <w:rsid w:val="F8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354</Characters>
  <Lines>2</Lines>
  <Paragraphs>1</Paragraphs>
  <TotalTime>14</TotalTime>
  <ScaleCrop>false</ScaleCrop>
  <LinksUpToDate>false</LinksUpToDate>
  <CharactersWithSpaces>354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2025-04-16T18:37:00Z</dcterms:created>
  <dc:creator>朱立强</dc:creator>
  <cp:lastModifiedBy>赵晨宇</cp:lastModifiedBy>
  <dcterms:modified xsi:type="dcterms:W3CDTF">2025-05-07T16:23:29Z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KSOTemplateDocerSaveRecord">
    <vt:lpwstr>eyJoZGlkIjoiYTZiMTBmNDhlYTYwZWIwNjk1MjdhYTliYWRjOTJmYWUiLCJ1c2VySWQiOiIzNjYwMzU1NDMifQ==</vt:lpwstr>
  </property>
  <property fmtid="{D5CDD505-2E9C-101B-9397-08002B2CF9AE}" pid="4" name="ICV">
    <vt:lpwstr>EA1A13CECA054F42B6E1909F86CE8D6E_12</vt:lpwstr>
  </property>
</Properties>
</file>